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1E1E"/>
          <w:sz w:val="62"/>
        </w:rPr>
        <w:t>eWyjazdy</w:t>
      </w:r>
      <w:r>
        <w:rPr>
          <w:b/>
          <w:color w:val="C80000"/>
          <w:sz w:val="62"/>
        </w:rPr>
        <w:t>OSP</w:t>
      </w:r>
    </w:p>
    <w:p>
      <w:pPr>
        <w:jc w:val="center"/>
      </w:pPr>
      <w:r>
        <w:rPr>
          <w:b/>
          <w:color w:val="505050"/>
          <w:sz w:val="28"/>
        </w:rPr>
        <w:t>RODO</w:t>
      </w:r>
    </w:p>
    <w:p>
      <w:pPr>
        <w:jc w:val="center"/>
      </w:pPr>
      <w:r>
        <w:rPr>
          <w:b/>
          <w:color w:val="BE0000"/>
          <w:sz w:val="40"/>
        </w:rPr>
        <w:t>Pakiet RODO i bezpieczeństwo danych</w:t>
      </w:r>
    </w:p>
    <w:p>
      <w:pPr>
        <w:jc w:val="center"/>
      </w:pPr>
      <w:r>
        <w:rPr>
          <w:color w:val="3C3C3C"/>
          <w:sz w:val="22"/>
        </w:rPr>
        <w:t>Wzory dokumentów dla jednostki korzystającej z aplikacji eWyjazdyOSP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548000" cy="268157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creenshot_2026-06-13__12_19_3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268157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437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548000" cy="2861641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creenshot_2026-06-13__12_20_02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28616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437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548000" cy="3096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creenshot_2026-06-13__12_20_36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309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jc w:val="center"/>
      </w:pPr>
      <w:r>
        <w:rPr>
          <w:b/>
          <w:color w:val="282828"/>
          <w:sz w:val="22"/>
        </w:rPr>
        <w:t>Autor aplikacji: Janusz Zajega</w:t>
      </w:r>
    </w:p>
    <w:p>
      <w:pPr>
        <w:jc w:val="center"/>
      </w:pPr>
      <w:r>
        <w:rPr>
          <w:color w:val="787878"/>
          <w:sz w:val="18"/>
        </w:rPr>
        <w:t>Wersja dokumentacji: 1.0 | Dokument roboczo-produkcyjny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2F2F2"/>
            <w:tcBorders>
              <w:top w:sz="8" w:val="single" w:color="D9D9D9"/>
              <w:left w:sz="8" w:val="single" w:color="D9D9D9"/>
              <w:bottom w:sz="8" w:val="single" w:color="D9D9D9"/>
              <w:right w:sz="8" w:val="single" w:color="D9D9D9"/>
            </w:tcBorders>
          </w:tcPr>
          <w:p>
            <w:r>
              <w:rPr>
                <w:b/>
                <w:color w:val="B40000"/>
              </w:rPr>
              <w:t>Charakter dokumentu</w:t>
            </w:r>
          </w:p>
          <w:p>
            <w:pPr>
              <w:spacing w:after="40"/>
            </w:pPr>
            <w:r>
              <w:t>To jest pakiet roboczych wzorów do dostosowania przez konkretną jednostkę OSP. Dokument nie zastępuje indywidualnej analizy prawnej ani decyzji administratora danych.</w:t>
            </w:r>
          </w:p>
        </w:tc>
      </w:tr>
    </w:tbl>
    <w:p/>
    <w:p>
      <w:pPr>
        <w:pStyle w:val="Heading1"/>
      </w:pPr>
      <w:r>
        <w:t>1. Założenia RODO dla eWyjazdyOSP</w:t>
      </w:r>
    </w:p>
    <w:p>
      <w:r>
        <w:t>Aplikacja eWyjazdyOSP działa lokalnie na urządzeniu użytkownika i nie przesyła danych automatycznie na serwer autora aplikacji. Dane są udostępniane dopiero wtedy, gdy użytkownik wygeneruje i przekaże plik PDF, ZIP, kopię bezpieczeństwa lub inny eksport.</w:t>
      </w:r>
    </w:p>
    <w:p>
      <w:pPr>
        <w:pStyle w:val="ListBullet"/>
      </w:pPr>
      <w:r>
        <w:t>Autor aplikacji: Janusz Zajega.</w:t>
      </w:r>
    </w:p>
    <w:p>
      <w:pPr>
        <w:pStyle w:val="ListBullet"/>
      </w:pPr>
      <w:r>
        <w:t>Administrator danych: jednostka OSP lub inny podmiot korzystający z aplikacji.</w:t>
      </w:r>
    </w:p>
    <w:p>
      <w:pPr>
        <w:pStyle w:val="ListBullet"/>
      </w:pPr>
      <w:r>
        <w:t>Użytkownik aplikacji: osoba upoważniona przez administratora danych.</w:t>
      </w:r>
    </w:p>
    <w:p>
      <w:pPr>
        <w:pStyle w:val="ListBullet"/>
      </w:pPr>
      <w:r>
        <w:t>Dane są przechowywane lokalnie na urządzeniu oraz w kopiach utworzonych przez użytkownika.</w:t>
      </w:r>
    </w:p>
    <w:p>
      <w:pPr>
        <w:pStyle w:val="Heading1"/>
      </w:pPr>
      <w:r>
        <w:t>2. Zakres danych przetwarzanych w aplikacji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shd w:fill="D9EAF7"/>
          </w:tcPr>
          <w:p>
            <w:r>
              <w:t>Obszar</w:t>
            </w:r>
          </w:p>
        </w:tc>
        <w:tc>
          <w:tcPr>
            <w:tcW w:type="dxa" w:w="5156"/>
            <w:shd w:fill="D9EAF7"/>
          </w:tcPr>
          <w:p>
            <w:r>
              <w:t>Przykładowy zakres danych</w:t>
            </w:r>
          </w:p>
        </w:tc>
      </w:tr>
      <w:tr>
        <w:tc>
          <w:tcPr>
            <w:tcW w:type="dxa" w:w="5156"/>
          </w:tcPr>
          <w:p>
            <w:r>
              <w:t>Strażacy</w:t>
            </w:r>
          </w:p>
        </w:tc>
        <w:tc>
          <w:tcPr>
            <w:tcW w:type="dxa" w:w="5156"/>
          </w:tcPr>
          <w:p>
            <w:r>
              <w:t>imię, nazwisko, funkcje, uprawnienia, terminy badań, przydziały, uwagi.</w:t>
            </w:r>
          </w:p>
        </w:tc>
      </w:tr>
      <w:tr>
        <w:tc>
          <w:tcPr>
            <w:tcW w:type="dxa" w:w="5156"/>
          </w:tcPr>
          <w:p>
            <w:r>
              <w:t>Pojazdy</w:t>
            </w:r>
          </w:p>
        </w:tc>
        <w:tc>
          <w:tcPr>
            <w:tcW w:type="dxa" w:w="5156"/>
          </w:tcPr>
          <w:p>
            <w:r>
              <w:t>nazwa, rejestracja, przegląd, OC, liczniki, wyposażenie, uwagi.</w:t>
            </w:r>
          </w:p>
        </w:tc>
      </w:tr>
      <w:tr>
        <w:tc>
          <w:tcPr>
            <w:tcW w:type="dxa" w:w="5156"/>
          </w:tcPr>
          <w:p>
            <w:r>
              <w:t>Sprzęt</w:t>
            </w:r>
          </w:p>
        </w:tc>
        <w:tc>
          <w:tcPr>
            <w:tcW w:type="dxa" w:w="5156"/>
          </w:tcPr>
          <w:p>
            <w:r>
              <w:t>nazwa, numer inwentarzowy, lokalizacja, stan, kody, zdjęcia, uwagi.</w:t>
            </w:r>
          </w:p>
        </w:tc>
      </w:tr>
      <w:tr>
        <w:tc>
          <w:tcPr>
            <w:tcW w:type="dxa" w:w="5156"/>
          </w:tcPr>
          <w:p>
            <w:r>
              <w:t>Służby i inne OSP</w:t>
            </w:r>
          </w:p>
        </w:tc>
        <w:tc>
          <w:tcPr>
            <w:tcW w:type="dxa" w:w="5156"/>
          </w:tcPr>
          <w:p>
            <w:r>
              <w:t>nazwa jednostki lub służby, pojazdy, obsady, liczba osób, uwagi.</w:t>
            </w:r>
          </w:p>
        </w:tc>
      </w:tr>
      <w:tr>
        <w:tc>
          <w:tcPr>
            <w:tcW w:type="dxa" w:w="5156"/>
          </w:tcPr>
          <w:p>
            <w:r>
              <w:t>Umundurowanie</w:t>
            </w:r>
          </w:p>
        </w:tc>
        <w:tc>
          <w:tcPr>
            <w:tcW w:type="dxa" w:w="5156"/>
          </w:tcPr>
          <w:p>
            <w:r>
              <w:t>kategorie, przydziały, braki, daty wydania, uwagi.</w:t>
            </w:r>
          </w:p>
        </w:tc>
      </w:tr>
      <w:tr>
        <w:tc>
          <w:tcPr>
            <w:tcW w:type="dxa" w:w="5156"/>
          </w:tcPr>
          <w:p>
            <w:r>
              <w:t>Odznaczenia</w:t>
            </w:r>
          </w:p>
        </w:tc>
        <w:tc>
          <w:tcPr>
            <w:tcW w:type="dxa" w:w="5156"/>
          </w:tcPr>
          <w:p>
            <w:r>
              <w:t>rodzaj wyróżnienia, data nadania, numer legitymacji, uwagi.</w:t>
            </w:r>
          </w:p>
        </w:tc>
      </w:tr>
      <w:tr>
        <w:tc>
          <w:tcPr>
            <w:tcW w:type="dxa" w:w="5156"/>
          </w:tcPr>
          <w:p>
            <w:r>
              <w:t>Akcje</w:t>
            </w:r>
          </w:p>
        </w:tc>
        <w:tc>
          <w:tcPr>
            <w:tcW w:type="dxa" w:w="5156"/>
          </w:tcPr>
          <w:p>
            <w:r>
              <w:t>czasy działań, lokalizacja, opis zdarzenia, siły i środki, poszkodowani, zużyte środki, raporty.</w:t>
            </w:r>
          </w:p>
        </w:tc>
      </w:tr>
      <w:tr>
        <w:tc>
          <w:tcPr>
            <w:tcW w:type="dxa" w:w="5156"/>
          </w:tcPr>
          <w:p>
            <w:r>
              <w:t>Zgłoszenia</w:t>
            </w:r>
          </w:p>
        </w:tc>
        <w:tc>
          <w:tcPr>
            <w:tcW w:type="dxa" w:w="5156"/>
          </w:tcPr>
          <w:p>
            <w:r>
              <w:t>usterki, braki, uwagi, status, data, osoba zgłaszająca.</w:t>
            </w:r>
          </w:p>
        </w:tc>
      </w:tr>
    </w:tbl>
    <w:p/>
    <w:p>
      <w:pPr>
        <w:pStyle w:val="Heading1"/>
      </w:pPr>
      <w:r>
        <w:t>3. Polityka prywatności aplikacji eWyjazdyOSP - wzór</w:t>
      </w:r>
    </w:p>
    <w:p>
      <w:pPr>
        <w:pStyle w:val="Heading2"/>
      </w:pPr>
      <w:r>
        <w:t>3.1 Administrator danych</w:t>
      </w:r>
    </w:p>
    <w:p>
      <w:r>
        <w:t>Administratorem danych osobowych przetwarzanych w aplikacji jest jednostka OSP lub inny podmiot, który wdrożył aplikację do własnego użytku:</w:t>
      </w:r>
    </w:p>
    <w:p>
      <w:r>
        <w:t>[pełna nazwa jednostki / administratora]</w:t>
        <w:br/>
        <w:t>[adres / dane kontaktowe]</w:t>
        <w:br/>
        <w:t>[dane kontaktowe osoby odpowiedzialnej za ochronę danych, jeśli wyznaczono]</w:t>
      </w:r>
    </w:p>
    <w:p>
      <w:pPr>
        <w:pStyle w:val="Heading2"/>
      </w:pPr>
      <w:r>
        <w:t>3.2 Autor aplikacji</w:t>
      </w:r>
    </w:p>
    <w:p>
      <w:r>
        <w:t>Autorem aplikacji eWyjazdyOSP jest Janusz Zajega. Autor aplikacji nie ma automatycznego dostępu do danych zapisanych lokalnie na telefonie użytkownika i nie jest administratorem danych przetwarzanych przez jednostkę, chyba że odrębna umowa lub wdrożenie serwerowe stanowi inaczej.</w:t>
      </w:r>
    </w:p>
    <w:p>
      <w:pPr>
        <w:pStyle w:val="Heading2"/>
      </w:pPr>
      <w:r>
        <w:t>3.3 Cele przetwarzania</w:t>
      </w:r>
    </w:p>
    <w:p>
      <w:pPr>
        <w:pStyle w:val="ListBullet"/>
      </w:pPr>
      <w:r>
        <w:t>dokumentowanie działań ratowniczych i czynności jednostki OSP;</w:t>
      </w:r>
    </w:p>
    <w:p>
      <w:pPr>
        <w:pStyle w:val="ListBullet"/>
      </w:pPr>
      <w:r>
        <w:t>prowadzenie ewidencji sił i środków, sprzętu, pojazdów i umundurowania;</w:t>
      </w:r>
    </w:p>
    <w:p>
      <w:pPr>
        <w:pStyle w:val="ListBullet"/>
      </w:pPr>
      <w:r>
        <w:t>kontrola terminów badań, przeglądów, OC, legalizacji i innych terminów operacyjnych;</w:t>
      </w:r>
    </w:p>
    <w:p>
      <w:pPr>
        <w:pStyle w:val="ListBullet"/>
      </w:pPr>
      <w:r>
        <w:t>generowanie raportów, dokumentów PDF, meldunków i zestawień;</w:t>
      </w:r>
    </w:p>
    <w:p>
      <w:pPr>
        <w:pStyle w:val="ListBullet"/>
      </w:pPr>
      <w:r>
        <w:t>wykonywanie kopii bezpieczeństwa i odtwarzanie danych;</w:t>
      </w:r>
    </w:p>
    <w:p>
      <w:pPr>
        <w:pStyle w:val="ListBullet"/>
      </w:pPr>
      <w:r>
        <w:t>obsługa zgłoszeń, usterek, uwag oraz eksportu dla konserwatora.</w:t>
      </w:r>
    </w:p>
    <w:p>
      <w:pPr>
        <w:pStyle w:val="Heading2"/>
      </w:pPr>
      <w:r>
        <w:t>3.4 Podstawy prawne</w:t>
      </w:r>
    </w:p>
    <w:p>
      <w:r>
        <w:t>Podstawę przetwarzania należy określić indywidualnie przez administratora danych, z uwzględnieniem charakteru jednostki i celu użycia aplikacji. Możliwe podstawy mogą obejmować obowiązek prawny, prawnie uzasadniony interes administratora albo zgodę osoby, której dane dotyczą - zależnie od konkretnego procesu.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2F2F2"/>
            <w:tcBorders>
              <w:top w:sz="8" w:val="single" w:color="D9D9D9"/>
              <w:left w:sz="8" w:val="single" w:color="D9D9D9"/>
              <w:bottom w:sz="8" w:val="single" w:color="D9D9D9"/>
              <w:right w:sz="8" w:val="single" w:color="D9D9D9"/>
            </w:tcBorders>
          </w:tcPr>
          <w:p>
            <w:r>
              <w:rPr>
                <w:b/>
                <w:color w:val="B40000"/>
              </w:rPr>
              <w:t>Do uzupełnienia przez administratora</w:t>
            </w:r>
          </w:p>
          <w:p>
            <w:pPr>
              <w:spacing w:after="40"/>
            </w:pPr>
            <w:r>
              <w:t>Przed wdrożeniem należy dopasować podstawy prawne do konkretnej jednostki, regulaminów, uchwał, umów i zakresu danych.</w:t>
            </w:r>
          </w:p>
        </w:tc>
      </w:tr>
    </w:tbl>
    <w:p/>
    <w:p>
      <w:pPr>
        <w:pStyle w:val="Heading2"/>
      </w:pPr>
      <w:r>
        <w:t>3.5 Przechowywanie danych</w:t>
      </w:r>
    </w:p>
    <w:p>
      <w:r>
        <w:t>Dane są przechowywane lokalnie na urządzeniu użytkownika oraz w kopiach bezpieczeństwa tworzonych przez użytkownika. Okres przechowywania powinien wynikać z celu przetwarzania, obowiązujących przepisów, zasad archiwizacji jednostki i potrzeb dokumentacyjnych.</w:t>
      </w:r>
    </w:p>
    <w:p>
      <w:pPr>
        <w:pStyle w:val="Heading2"/>
      </w:pPr>
      <w:r>
        <w:t>3.6 Odbiorcy danych</w:t>
      </w:r>
    </w:p>
    <w:p>
      <w:r>
        <w:t>Dane mogą być udostępniane wyłącznie osobom i podmiotom uprawnionym przez administratora, w szczególności członkom zarządu jednostki, osobom prowadzącym dokumentację, służbom, konserwatorom, organom uprawnionym lub odbiorcom wskazanym przez przepisy. Udostępnienie przez PDF, ZIP, kopię lub eksport wykonuje użytkownik aplikacji.</w:t>
      </w:r>
    </w:p>
    <w:p>
      <w:pPr>
        <w:pStyle w:val="Heading2"/>
      </w:pPr>
      <w:r>
        <w:t>3.7 Prawa osób, których dane dotyczą</w:t>
      </w:r>
    </w:p>
    <w:p>
      <w:pPr>
        <w:pStyle w:val="ListBullet"/>
      </w:pPr>
      <w:r>
        <w:t>prawo dostępu do danych;</w:t>
      </w:r>
    </w:p>
    <w:p>
      <w:pPr>
        <w:pStyle w:val="ListBullet"/>
      </w:pPr>
      <w:r>
        <w:t>prawo sprostowania danych;</w:t>
      </w:r>
    </w:p>
    <w:p>
      <w:pPr>
        <w:pStyle w:val="ListBullet"/>
      </w:pPr>
      <w:r>
        <w:t>prawo usunięcia danych, jeśli przepisy i cel przetwarzania na to pozwalają;</w:t>
      </w:r>
    </w:p>
    <w:p>
      <w:pPr>
        <w:pStyle w:val="ListBullet"/>
      </w:pPr>
      <w:r>
        <w:t>prawo ograniczenia przetwarzania;</w:t>
      </w:r>
    </w:p>
    <w:p>
      <w:pPr>
        <w:pStyle w:val="ListBullet"/>
      </w:pPr>
      <w:r>
        <w:t>prawo wniesienia sprzeciwu, gdy znajduje zastosowanie;</w:t>
      </w:r>
    </w:p>
    <w:p>
      <w:pPr>
        <w:pStyle w:val="ListBullet"/>
      </w:pPr>
      <w:r>
        <w:t>prawo wniesienia skargi do Prezesa Urzędu Ochrony Danych Osobowych.</w:t>
      </w:r>
    </w:p>
    <w:p>
      <w:pPr>
        <w:pStyle w:val="Heading1"/>
      </w:pPr>
      <w:r>
        <w:t>4. Klauzula informacyjna dla członków OSP - wzór</w:t>
      </w:r>
    </w:p>
    <w:p>
      <w:r>
        <w:t>Administrator danych: [nazwa jednostki / administratora].</w:t>
      </w:r>
    </w:p>
    <w:p>
      <w:r>
        <w:t>Kontakt: [adres, e-mail, telefon].</w:t>
      </w:r>
    </w:p>
    <w:p>
      <w:r>
        <w:t>Dane osobowe będą przetwarzane w celu prowadzenia dokumentacji jednostki, ewidencji udziału w działaniach, zarządzania zasobami, kontrolowania uprawnień i terminów oraz generowania raportów i dokumentów związanych z działalnością OSP.</w:t>
      </w:r>
    </w:p>
    <w:p>
      <w:r>
        <w:t>Zakres danych może obejmować imię, nazwisko, funkcje, uprawnienia, terminy badań, udział w działaniach, przydziały umundurowania, odznaczenia, uwagi i inne informacje niezbędne do realizacji zadań jednostki.</w:t>
      </w:r>
    </w:p>
    <w:p>
      <w:r>
        <w:t>Dane mogą być przechowywane lokalnie w aplikacji eWyjazdyOSP, w kopiach bezpieczeństwa oraz w dokumentach wygenerowanych przez aplikację. Dane mogą być udostępniane wyłącznie osobom i podmiotom uprawnionym.</w:t>
      </w:r>
    </w:p>
    <w:p>
      <w:r>
        <w:t>Osoba, której dane dotyczą, ma prawa wynikające z RODO, w tym prawo dostępu do danych, sprostowania, ograniczenia przetwarzania oraz wniesienia skargi do Prezesa UODO.</w:t>
      </w:r>
    </w:p>
    <w:p>
      <w:pPr>
        <w:pStyle w:val="Heading1"/>
      </w:pPr>
      <w:r>
        <w:t>5. Zasady bezpieczeństwa danych w aplikacji</w:t>
      </w:r>
    </w:p>
    <w:p>
      <w:pPr>
        <w:pStyle w:val="ListBullet"/>
      </w:pPr>
      <w:r>
        <w:t>Telefon z aplikacją powinien mieć włączoną blokadę ekranu.</w:t>
      </w:r>
    </w:p>
    <w:p>
      <w:pPr>
        <w:pStyle w:val="ListBullet"/>
      </w:pPr>
      <w:r>
        <w:t>Dostęp do aplikacji powinny mieć wyłącznie osoby upoważnione przez administratora danych.</w:t>
      </w:r>
    </w:p>
    <w:p>
      <w:pPr>
        <w:pStyle w:val="ListBullet"/>
      </w:pPr>
      <w:r>
        <w:t>Kopie zawierające dane osobowe powinny być zabezpieczane hasłem, jeżeli są przekazywane poza urządzenie.</w:t>
      </w:r>
    </w:p>
    <w:p>
      <w:pPr>
        <w:pStyle w:val="ListBullet"/>
      </w:pPr>
      <w:r>
        <w:t>Pliki PDF i ZIP należy wysyłać tylko do uprawnionych odbiorców.</w:t>
      </w:r>
    </w:p>
    <w:p>
      <w:pPr>
        <w:pStyle w:val="ListBullet"/>
      </w:pPr>
      <w:r>
        <w:t>Po przekazaniu telefonu innej osobie dane należy usunąć albo wykonać reset urządzenia.</w:t>
      </w:r>
    </w:p>
    <w:p>
      <w:pPr>
        <w:pStyle w:val="ListBullet"/>
      </w:pPr>
      <w:r>
        <w:t>Należy regularnie wykonywać kopie bezpieczeństwa oraz sprawdzać możliwość ich odtworzenia.</w:t>
      </w:r>
    </w:p>
    <w:p>
      <w:pPr>
        <w:pStyle w:val="ListBullet"/>
      </w:pPr>
      <w:r>
        <w:t>Import danych powinien być wykonywany świadomie, z użyciem trybu Scal, jeżeli celem nie jest nadpisanie całej bazy.</w:t>
      </w:r>
    </w:p>
    <w:p>
      <w:pPr>
        <w:pStyle w:val="ListBullet"/>
      </w:pPr>
      <w:r>
        <w:t>Nadpisanie danych powinno być używane tylko po wykonaniu aktualnej kopii.</w:t>
      </w:r>
    </w:p>
    <w:p>
      <w:pPr>
        <w:pStyle w:val="Heading1"/>
      </w:pPr>
      <w:r>
        <w:t>6. Zasady kopii bezpieczeństwa i eksportu danych</w:t>
      </w:r>
    </w:p>
    <w:p>
      <w:pPr>
        <w:pStyle w:val="Heading2"/>
      </w:pPr>
      <w:r>
        <w:t>6.1 Kopie bezpieczeństwa</w:t>
      </w:r>
    </w:p>
    <w:p>
      <w:r>
        <w:t>Kopie mogą obejmować całą bazę albo wybrane moduły: strażacy, inni strażacy, pojazdy, inne pojazdy, sprzęt, służby, umundurowanie, odznaczenia, akcje i ustawienia jednostki. Autor aplikacji nie jest zapisywany ani odtwarzany z kopii.</w:t>
      </w:r>
    </w:p>
    <w:p>
      <w:pPr>
        <w:pStyle w:val="Heading2"/>
      </w:pPr>
      <w:r>
        <w:t>6.2 Odtwarzanie danych</w:t>
      </w:r>
    </w:p>
    <w:p>
      <w:pPr>
        <w:pStyle w:val="ListBullet"/>
      </w:pPr>
      <w:r>
        <w:t>Scal z obecnymi danymi - domyślny, bezpieczny tryb.</w:t>
      </w:r>
    </w:p>
    <w:p>
      <w:pPr>
        <w:pStyle w:val="ListBullet"/>
      </w:pPr>
      <w:r>
        <w:t>Nadpisz obecne dane - tryb awaryjny wymagający potwierdzenia TAK.</w:t>
      </w:r>
    </w:p>
    <w:p>
      <w:pPr>
        <w:pStyle w:val="Heading2"/>
      </w:pPr>
      <w:r>
        <w:t>6.3 Eksport danych</w:t>
      </w:r>
    </w:p>
    <w:p>
      <w:r>
        <w:t>Eksport PDF jest przeznaczony do odczytu przez człowieka. Eksport ZIP jest przeznaczony do importu w aplikacji. Przed udostępnieniem pliku należy sprawdzić odbiorcę, zakres danych i cel przekazania.</w:t>
      </w:r>
    </w:p>
    <w:p>
      <w:pPr>
        <w:pStyle w:val="Heading2"/>
      </w:pPr>
      <w:r>
        <w:t>6.4 Hasła do kopii</w:t>
      </w:r>
    </w:p>
    <w:p>
      <w:r>
        <w:t>Hasło do kopii powinno być przekazane odbiorcy bezpiecznym kanałem innym niż sam plik kopii. Utrata hasła może uniemożliwić odtworzenie zabezpieczonej kopii.</w:t>
      </w:r>
    </w:p>
    <w:p>
      <w:pPr>
        <w:pStyle w:val="Heading1"/>
      </w:pPr>
      <w:r>
        <w:t>7. Upoważnienie do przetwarzania danych w aplikacji - wzór</w:t>
      </w:r>
    </w:p>
    <w:p>
      <w:r>
        <w:t>Miejscowość i data: __________________________</w:t>
      </w:r>
    </w:p>
    <w:p>
      <w:r>
        <w:t>Administrator danych: __________________________</w:t>
      </w:r>
    </w:p>
    <w:p>
      <w:r>
        <w:t>Upoważnia się: __________________________, funkcja: __________________________</w:t>
      </w:r>
    </w:p>
    <w:p>
      <w:r>
        <w:t>do przetwarzania danych osobowych w aplikacji eWyjazdyOSP w zakresie niezbędnym do wykonywania zadań związanych z dokumentowaniem działań, prowadzeniem zasobów, raportów, kopii bezpieczeństwa i zgłoszeń jednostki.</w:t>
      </w:r>
    </w:p>
    <w:p>
      <w:r>
        <w:t>Osoba upoważniona zobowiązuje się do zachowania poufności danych oraz stosowania zasad bezpieczeństwa określonych przez administratora.</w:t>
      </w:r>
    </w:p>
    <w:p>
      <w:r>
        <w:br/>
        <w:t>Podpis administratora: ____________________        Podpis osoby upoważnionej: ____________________</w:t>
      </w:r>
    </w:p>
    <w:p>
      <w:pPr>
        <w:pStyle w:val="Heading1"/>
      </w:pPr>
      <w:r>
        <w:t>8. Rejestr osób mających dostęp do aplikacji - wzór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062"/>
        <w:gridCol w:w="2062"/>
        <w:gridCol w:w="2062"/>
        <w:gridCol w:w="2062"/>
        <w:gridCol w:w="2062"/>
      </w:tblGrid>
      <w:tr>
        <w:tc>
          <w:tcPr>
            <w:tcW w:type="dxa" w:w="2062"/>
            <w:shd w:fill="D9EAF7"/>
          </w:tcPr>
          <w:p>
            <w:r>
              <w:t>Lp.</w:t>
            </w:r>
          </w:p>
        </w:tc>
        <w:tc>
          <w:tcPr>
            <w:tcW w:type="dxa" w:w="2062"/>
            <w:shd w:fill="D9EAF7"/>
          </w:tcPr>
          <w:p>
            <w:r>
              <w:t>Imię i nazwisko</w:t>
            </w:r>
          </w:p>
        </w:tc>
        <w:tc>
          <w:tcPr>
            <w:tcW w:type="dxa" w:w="2062"/>
            <w:shd w:fill="D9EAF7"/>
          </w:tcPr>
          <w:p>
            <w:r>
              <w:t>Zakres dostępu</w:t>
            </w:r>
          </w:p>
        </w:tc>
        <w:tc>
          <w:tcPr>
            <w:tcW w:type="dxa" w:w="2062"/>
            <w:shd w:fill="D9EAF7"/>
          </w:tcPr>
          <w:p>
            <w:r>
              <w:t>Data nadania</w:t>
            </w:r>
          </w:p>
        </w:tc>
        <w:tc>
          <w:tcPr>
            <w:tcW w:type="dxa" w:w="2062"/>
            <w:shd w:fill="D9EAF7"/>
          </w:tcPr>
          <w:p>
            <w:r>
              <w:t>Data odebrania</w:t>
            </w:r>
          </w:p>
        </w:tc>
      </w:tr>
      <w:tr>
        <w:tc>
          <w:tcPr>
            <w:tcW w:type="dxa" w:w="2062"/>
          </w:tcPr>
          <w:p>
            <w:r>
              <w:t>1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2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3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4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5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6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7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  <w:tr>
        <w:tc>
          <w:tcPr>
            <w:tcW w:type="dxa" w:w="2062"/>
          </w:tcPr>
          <w:p>
            <w:r>
              <w:t>8</w:t>
            </w:r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  <w:tc>
          <w:tcPr>
            <w:tcW w:type="dxa" w:w="2062"/>
          </w:tcPr>
          <w:p>
            <w:r/>
          </w:p>
        </w:tc>
      </w:tr>
    </w:tbl>
    <w:p/>
    <w:p>
      <w:pPr>
        <w:pStyle w:val="Heading1"/>
      </w:pPr>
      <w:r>
        <w:t>9. Protokół przekazania kopii / eksportu danych - wzór</w:t>
      </w:r>
    </w:p>
    <w:p>
      <w:r>
        <w:t>Data przekazania: __________________________</w:t>
      </w:r>
    </w:p>
    <w:p>
      <w:r>
        <w:t>Przekazujący: __________________________</w:t>
      </w:r>
    </w:p>
    <w:p>
      <w:r>
        <w:t>Odbiorca: __________________________</w:t>
      </w:r>
    </w:p>
    <w:p>
      <w:r>
        <w:t>Zakres danych: pełna kopia / kopia częściowa / PDF / ZIP / SIS akcji / zgłoszenia / inne: __________________________</w:t>
      </w:r>
    </w:p>
    <w:p>
      <w:r>
        <w:t>Cel przekazania: __________________________</w:t>
      </w:r>
    </w:p>
    <w:p>
      <w:r>
        <w:t>Sposób zabezpieczenia: hasło / brak hasła / inny: __________________________</w:t>
      </w:r>
    </w:p>
    <w:p>
      <w:r>
        <w:br/>
        <w:t>Podpis przekazującego: ____________________        Podpis odbiorcy: ____________________</w:t>
      </w:r>
    </w:p>
    <w:p>
      <w:pPr>
        <w:pStyle w:val="Heading1"/>
      </w:pPr>
      <w:r>
        <w:t>10. Oświadczenie użytkownika aplikacji - wzór</w:t>
      </w:r>
    </w:p>
    <w:p>
      <w:r>
        <w:t>Oświadczam, że zapoznałem/am się z zasadami bezpieczeństwa danych w aplikacji eWyjazdyOSP. Zobowiązuję się do korzystania z aplikacji wyłącznie w zakresie udzielonego upoważnienia, do nieudostępniania danych osobom nieuprawnionym oraz do zabezpieczenia telefonu, kopii i eksportów zawierających dane osobowe.</w:t>
      </w:r>
    </w:p>
    <w:p>
      <w:r>
        <w:br/>
        <w:t>Imię i nazwisko: ____________________        Data i podpis: ____________________</w:t>
      </w:r>
    </w:p>
    <w:p>
      <w:pPr>
        <w:pStyle w:val="Heading1"/>
      </w:pPr>
      <w:r>
        <w:t>11. Źródła i punkty odniesienia</w:t>
      </w:r>
    </w:p>
    <w:p>
      <w:pPr>
        <w:pStyle w:val="ListBullet"/>
      </w:pPr>
      <w:r>
        <w:t>Rozporządzenie Parlamentu Europejskiego i Rady (UE) 2016/679, w szczególności art. 5 dotyczący zasad przetwarzania oraz art. 13 dotyczący obowiązku informacyjnego.</w:t>
      </w:r>
    </w:p>
    <w:p>
      <w:pPr>
        <w:pStyle w:val="ListBullet"/>
      </w:pPr>
      <w:r>
        <w:t>Materiały Urzędu Ochrony Danych Osobowych dotyczące obowiązków administratora oraz praw osób, których dane dotyczą.</w:t>
      </w:r>
    </w:p>
    <w:p>
      <w:pPr>
        <w:pStyle w:val="ListBullet"/>
      </w:pPr>
      <w:r>
        <w:t>Dokumentacja Android dotycząca uprawnienia POST_NOTIFICATIONS dla Androida 13 i nowszych.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2F2F2"/>
            <w:tcBorders>
              <w:top w:sz="8" w:val="single" w:color="D9D9D9"/>
              <w:left w:sz="8" w:val="single" w:color="D9D9D9"/>
              <w:bottom w:sz="8" w:val="single" w:color="D9D9D9"/>
              <w:right w:sz="8" w:val="single" w:color="D9D9D9"/>
            </w:tcBorders>
          </w:tcPr>
          <w:p>
            <w:r>
              <w:rPr>
                <w:b/>
                <w:color w:val="B40000"/>
              </w:rPr>
              <w:t>Wdrożenie</w:t>
            </w:r>
          </w:p>
          <w:p>
            <w:pPr>
              <w:spacing w:after="40"/>
            </w:pPr>
            <w:r>
              <w:t>Przed udostępnieniem aplikacji innym jednostkom warto uzupełnić dane administratora, podstawy prawne, okresy przechowywania oraz wewnętrzne zasady dostępu zgodnie z praktyką konkretnej OSP.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907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eWyjazdyOSP | dokumentacja produkcyjna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B40000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646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4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